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76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761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Thompson Motta Roberto</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480" w:type="dxa"/>
            <w:vAlign w:val="bottom"/>
            <w:tcBorders>
              <w:top w:val="single" w:sz="8" w:color="0000EE"/>
            </w:tcBorders>
            <w:gridSpan w:val="2"/>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Moses</w:t>
              </w:r>
            </w:hyperlink>
          </w:p>
        </w:tc>
        <w:tc>
          <w:tcPr>
            <w:tcW w:w="54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Waldencast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WALD</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48" w:lineRule="exact"/>
        <w:rPr>
          <w:sz w:val="20"/>
          <w:szCs w:val="20"/>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25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WALDENCAST PLC</w:t>
      </w:r>
    </w:p>
    <w:p>
      <w:pPr>
        <w:spacing w:after="0" w:line="70" w:lineRule="exact"/>
        <w:rPr>
          <w:sz w:val="20"/>
          <w:szCs w:val="20"/>
          <w:color w:val="auto"/>
        </w:rPr>
      </w:pPr>
    </w:p>
    <w:p>
      <w:pPr>
        <w:ind w:left="140" w:right="1317"/>
        <w:spacing w:after="0" w:line="275" w:lineRule="auto"/>
        <w:rPr>
          <w:sz w:val="20"/>
          <w:szCs w:val="20"/>
          <w:color w:val="auto"/>
        </w:rPr>
      </w:pPr>
      <w:r>
        <w:rPr>
          <w:rFonts w:ascii="Times New Roman" w:cs="Times New Roman" w:eastAsia="Times New Roman" w:hAnsi="Times New Roman"/>
          <w:sz w:val="20"/>
          <w:szCs w:val="20"/>
          <w:color w:val="0000FF"/>
        </w:rPr>
        <w:t>MICHELIN HOUSE, 81 FULHAM ROAD</w:t>
      </w:r>
    </w:p>
    <w:p>
      <w:pPr>
        <w:spacing w:after="0" w:line="269"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0"/>
          <w:szCs w:val="20"/>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LONDON</w:t>
        <w:tab/>
        <w:t>X0</w:t>
      </w:r>
      <w:r>
        <w:rPr>
          <w:sz w:val="20"/>
          <w:szCs w:val="20"/>
          <w:color w:val="auto"/>
        </w:rPr>
        <w:tab/>
      </w:r>
      <w:r>
        <w:rPr>
          <w:rFonts w:ascii="Times New Roman" w:cs="Times New Roman" w:eastAsia="Times New Roman" w:hAnsi="Times New Roman"/>
          <w:sz w:val="18"/>
          <w:szCs w:val="18"/>
          <w:color w:val="0000FF"/>
        </w:rPr>
        <w:t>SW3 6RD</w:t>
      </w:r>
    </w:p>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7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49" w:lineRule="exact"/>
        <w:rPr>
          <w:sz w:val="20"/>
          <w:szCs w:val="20"/>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00" w:type="dxa"/>
            <w:vAlign w:val="bottom"/>
          </w:tcPr>
          <w:p>
            <w:pPr>
              <w:jc w:val="right"/>
              <w:ind w:right="317"/>
              <w:spacing w:after="0"/>
              <w:rPr>
                <w:sz w:val="20"/>
                <w:szCs w:val="20"/>
                <w:color w:val="auto"/>
              </w:rPr>
            </w:pPr>
            <w:r>
              <w:rPr>
                <w:rFonts w:ascii="Times New Roman" w:cs="Times New Roman" w:eastAsia="Times New Roman" w:hAnsi="Times New Roman"/>
                <w:sz w:val="20"/>
                <w:szCs w:val="20"/>
                <w:color w:val="0000FF"/>
              </w:rPr>
              <w:t>18,727</w:t>
            </w:r>
          </w:p>
        </w:tc>
        <w:tc>
          <w:tcPr>
            <w:tcW w:w="10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34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jc w:val="right"/>
              <w:ind w:right="257"/>
              <w:spacing w:after="0"/>
              <w:rPr>
                <w:sz w:val="20"/>
                <w:szCs w:val="20"/>
                <w:color w:val="auto"/>
              </w:rPr>
            </w:pPr>
            <w:r>
              <w:rPr>
                <w:rFonts w:ascii="Times New Roman" w:cs="Times New Roman" w:eastAsia="Times New Roman" w:hAnsi="Times New Roman"/>
                <w:sz w:val="20"/>
                <w:szCs w:val="20"/>
                <w:color w:val="0000FF"/>
              </w:rPr>
              <w:t>100,000</w:t>
            </w:r>
          </w:p>
        </w:tc>
        <w:tc>
          <w:tcPr>
            <w:tcW w:w="1060" w:type="dxa"/>
            <w:vAlign w:val="bottom"/>
            <w:tcBorders>
              <w:bottom w:val="single" w:sz="8" w:color="2C2C2C"/>
            </w:tcBorders>
            <w:gridSpan w:val="2"/>
          </w:tcPr>
          <w:p>
            <w:pPr>
              <w:ind w:left="940"/>
              <w:spacing w:after="0"/>
              <w:rPr>
                <w:sz w:val="20"/>
                <w:szCs w:val="20"/>
                <w:color w:val="auto"/>
              </w:rPr>
            </w:pPr>
            <w:r>
              <w:rPr>
                <w:rFonts w:ascii="Times New Roman" w:cs="Times New Roman" w:eastAsia="Times New Roman" w:hAnsi="Times New Roman"/>
                <w:sz w:val="20"/>
                <w:szCs w:val="20"/>
                <w:color w:val="0000FF"/>
              </w:rPr>
              <w:t>I</w:t>
            </w:r>
          </w:p>
        </w:tc>
        <w:tc>
          <w:tcPr>
            <w:tcW w:w="3360" w:type="dxa"/>
            <w:vAlign w:val="bottom"/>
            <w:tcBorders>
              <w:bottom w:val="single" w:sz="8" w:color="2C2C2C"/>
            </w:tcBorders>
            <w:gridSpan w:val="4"/>
          </w:tcPr>
          <w:p>
            <w:pPr>
              <w:ind w:left="580"/>
              <w:spacing w:after="0"/>
              <w:rPr>
                <w:sz w:val="20"/>
                <w:szCs w:val="20"/>
                <w:color w:val="auto"/>
              </w:rPr>
            </w:pPr>
            <w:r>
              <w:rPr>
                <w:rFonts w:ascii="Times New Roman" w:cs="Times New Roman" w:eastAsia="Times New Roman" w:hAnsi="Times New Roman"/>
                <w:sz w:val="20"/>
                <w:szCs w:val="20"/>
                <w:color w:val="0000FF"/>
              </w:rPr>
              <w:t>By Nexus Limited.</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60" w:type="dxa"/>
            <w:vAlign w:val="bottom"/>
            <w:gridSpan w:val="2"/>
            <w:vMerge w:val="restart"/>
          </w:tcPr>
          <w:p>
            <w:pPr>
              <w:ind w:left="36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60" w:type="dxa"/>
            <w:vAlign w:val="bottom"/>
            <w:gridSpan w:val="2"/>
          </w:tcPr>
          <w:p>
            <w:pPr>
              <w:ind w:left="36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40" w:right="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Nexus Limited is controlled by the reporting person's spouse. The reporting person disclaims beneficial ownership of the securities held by Nexus Limited, except to the extent of his pecuniary interest therein.</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Roberto Thompson</w:t>
            </w:r>
          </w:p>
        </w:tc>
        <w:tc>
          <w:tcPr>
            <w:tcW w:w="4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46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1"/>
              </w:rPr>
              <w:t>Motta</w:t>
            </w:r>
          </w:p>
        </w:tc>
        <w:tc>
          <w:tcPr>
            <w:tcW w:w="172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460" w:type="dxa"/>
            <w:vAlign w:val="bottom"/>
            <w:tcBorders>
              <w:bottom w:val="single" w:sz="8" w:color="auto"/>
            </w:tcBorders>
            <w:vMerge w:val="continue"/>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75768" TargetMode="External"/><Relationship Id="rId11" Type="http://schemas.openxmlformats.org/officeDocument/2006/relationships/hyperlink" Target="http://www.sec.gov/cgi-bin/browse-edgar?action=getcompany&amp;CIK=00018401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2026-03-18T10:25:51Z</dcterms:created>
  <dcterms:modified xsi:type="dcterms:W3CDTF">2026-03-18T10:25:51Z</dcterms:modified>
</cp:coreProperties>
</file>