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6-k.htm"/>
      <w:bookmarkStart w:id="1" w:name="ksform6k"/>
      <w:bookmarkEnd w:id="0"/>
      <w:bookmarkEnd w:id="1"/>
      <w:r>
        <w:rPr/>
        <w:t xml:space="preserve">  </w:t>
      </w:r>
    </w:p>
    <w:p>
      <w:pPr>
        <w:pStyle w:val="TextBody"/>
        <w:bidi w:val="0"/>
        <w:spacing w:before="0" w:after="0"/>
        <w:jc w:val="left"/>
        <w:rPr/>
      </w:pPr>
      <w:r>
        <w:rPr/>
        <w:t xml:space="preserve">  </w:t>
      </w:r>
    </w:p>
    <w:tbl>
      <w:tblPr>
        <w:tblW w:w="678" w:type="dxa"/>
        <w:jc w:val="left"/>
        <w:tblInd w:w="0" w:type="dxa"/>
        <w:tblLayout w:type="fixed"/>
        <w:tblCellMar>
          <w:top w:w="0" w:type="dxa"/>
          <w:left w:w="0" w:type="dxa"/>
          <w:bottom w:w="0" w:type="dxa"/>
          <w:right w:w="0" w:type="dxa"/>
        </w:tblCellMar>
      </w:tblPr>
      <w:tblGrid>
        <w:gridCol w:w="221"/>
        <w:gridCol w:w="206"/>
        <w:gridCol w:w="251"/>
      </w:tblGrid>
      <w:tr>
        <w:trPr/>
        <w:tc>
          <w:tcPr>
            <w:tcW w:w="221"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251" w:type="dxa"/>
            <w:tcBorders/>
            <w:vAlign w:val="center"/>
          </w:tcPr>
          <w:p>
            <w:pPr>
              <w:pStyle w:val="TableContents"/>
              <w:bidi w:val="0"/>
              <w:spacing w:before="0" w:after="283"/>
              <w:jc w:val="left"/>
              <w:rPr/>
            </w:pPr>
            <w:r>
              <w:rPr/>
              <w:t xml:space="preserve">  </w:t>
            </w:r>
          </w:p>
        </w:tc>
      </w:tr>
      <w:tr>
        <w:trPr/>
        <w:tc>
          <w:tcPr>
            <w:tcW w:w="678" w:type="dxa"/>
            <w:gridSpan w:val="3"/>
            <w:tcBorders>
              <w:top w:val="single" w:sz="16" w:space="0" w:color="000000"/>
              <w:bottom w:val="single" w:sz="8" w:space="0" w:color="000000"/>
            </w:tcBorders>
            <w:tcMar>
              <w:top w:w="28" w:type="dxa"/>
              <w:bottom w:w="28" w:type="dxa"/>
            </w:tcMar>
            <w:vAlign w:val="center"/>
          </w:tcPr>
          <w:p>
            <w:pPr>
              <w:pStyle w:val="TableContents"/>
              <w:bidi w:val="0"/>
              <w:spacing w:before="0" w:after="283"/>
              <w:jc w:val="left"/>
              <w:rPr/>
            </w:pPr>
            <w:r>
              <w:rPr/>
              <w:t xml:space="preserve">  </w:t>
            </w:r>
          </w:p>
        </w:tc>
      </w:tr>
    </w:tbl>
    <w:p>
      <w:pPr>
        <w:pStyle w:val="TextBody"/>
        <w:bidi w:val="0"/>
        <w:spacing w:before="0" w:after="0"/>
        <w:jc w:val="center"/>
        <w:rPr/>
      </w:pPr>
      <w:r>
        <w:rPr>
          <w:b/>
          <w:color w:val="000000"/>
          <w:sz w:val="20"/>
        </w:rPr>
        <w:t>UNITED STATES</w:t>
      </w:r>
      <w:r>
        <w:rPr/>
        <w:t xml:space="preserve"> </w:t>
      </w:r>
    </w:p>
    <w:p>
      <w:pPr>
        <w:pStyle w:val="TextBody"/>
        <w:bidi w:val="0"/>
        <w:spacing w:before="0" w:after="0"/>
        <w:jc w:val="center"/>
        <w:rPr/>
      </w:pPr>
      <w:r>
        <w:rPr>
          <w:b/>
          <w:color w:val="000000"/>
          <w:sz w:val="20"/>
        </w:rPr>
        <w:t>SECURITIES AND EXCHANGE COMMISSION</w:t>
      </w:r>
      <w:r>
        <w:rPr/>
        <w:t xml:space="preserve"> </w:t>
      </w:r>
    </w:p>
    <w:p>
      <w:pPr>
        <w:pStyle w:val="TextBody"/>
        <w:bidi w:val="0"/>
        <w:spacing w:before="0" w:after="0"/>
        <w:jc w:val="center"/>
        <w:rPr/>
      </w:pPr>
      <w:r>
        <w:rPr>
          <w:b/>
          <w:color w:val="000000"/>
          <w:sz w:val="20"/>
        </w:rPr>
        <w:t>Washington, D.C. 20549</w:t>
      </w:r>
      <w:r>
        <w:rPr/>
        <w:t xml:space="preserve"> </w:t>
      </w:r>
    </w:p>
    <w:tbl>
      <w:tblPr>
        <w:tblW w:w="678" w:type="dxa"/>
        <w:jc w:val="left"/>
        <w:tblInd w:w="0" w:type="dxa"/>
        <w:tblLayout w:type="fixed"/>
        <w:tblCellMar>
          <w:top w:w="0" w:type="dxa"/>
          <w:left w:w="0" w:type="dxa"/>
          <w:bottom w:w="0" w:type="dxa"/>
          <w:right w:w="0" w:type="dxa"/>
        </w:tblCellMar>
      </w:tblPr>
      <w:tblGrid>
        <w:gridCol w:w="221"/>
        <w:gridCol w:w="206"/>
        <w:gridCol w:w="251"/>
      </w:tblGrid>
      <w:tr>
        <w:trPr/>
        <w:tc>
          <w:tcPr>
            <w:tcW w:w="221"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251" w:type="dxa"/>
            <w:tcBorders/>
            <w:vAlign w:val="center"/>
          </w:tcPr>
          <w:p>
            <w:pPr>
              <w:pStyle w:val="TableContents"/>
              <w:bidi w:val="0"/>
              <w:spacing w:before="0" w:after="283"/>
              <w:jc w:val="left"/>
              <w:rPr/>
            </w:pPr>
            <w:r>
              <w:rPr/>
              <w:t xml:space="preserve">  </w:t>
            </w:r>
          </w:p>
        </w:tc>
      </w:tr>
      <w:tr>
        <w:trPr/>
        <w:tc>
          <w:tcPr>
            <w:tcW w:w="678" w:type="dxa"/>
            <w:gridSpan w:val="3"/>
            <w:tcBorders>
              <w:top w:val="single" w:sz="12" w:space="0" w:color="000000"/>
            </w:tcBorders>
            <w:tcMar>
              <w:top w:w="28" w:type="dxa"/>
            </w:tcMar>
            <w:vAlign w:val="center"/>
          </w:tcPr>
          <w:p>
            <w:pPr>
              <w:pStyle w:val="TableContents"/>
              <w:bidi w:val="0"/>
              <w:spacing w:before="0" w:after="283"/>
              <w:jc w:val="left"/>
              <w:rPr/>
            </w:pPr>
            <w:r>
              <w:rPr/>
              <w:t xml:space="preserve">  </w:t>
            </w:r>
          </w:p>
        </w:tc>
      </w:tr>
    </w:tbl>
    <w:p>
      <w:pPr>
        <w:pStyle w:val="TextBody"/>
        <w:bidi w:val="0"/>
        <w:spacing w:before="0" w:after="0"/>
        <w:jc w:val="center"/>
        <w:rPr/>
      </w:pPr>
      <w:r>
        <w:rPr>
          <w:b/>
          <w:color w:val="000000"/>
          <w:sz w:val="20"/>
        </w:rPr>
        <w:t>FORM 6-K</w:t>
      </w:r>
      <w:r>
        <w:rPr/>
        <w:t xml:space="preserve"> </w:t>
      </w:r>
    </w:p>
    <w:p>
      <w:pPr>
        <w:pStyle w:val="TextBody"/>
        <w:bidi w:val="0"/>
        <w:spacing w:before="0" w:after="0"/>
        <w:jc w:val="center"/>
        <w:rPr>
          <w:b/>
          <w:color w:val="000000"/>
          <w:sz w:val="20"/>
        </w:rPr>
      </w:pPr>
      <w:r>
        <w:rPr>
          <w:b/>
          <w:color w:val="000000"/>
          <w:sz w:val="20"/>
        </w:rPr>
        <w:t xml:space="preserve">REPORT OF FOREIGN PRIVATE ISSUER </w:t>
      </w:r>
    </w:p>
    <w:p>
      <w:pPr>
        <w:pStyle w:val="TextBody"/>
        <w:bidi w:val="0"/>
        <w:spacing w:before="0" w:after="0"/>
        <w:jc w:val="center"/>
        <w:rPr/>
      </w:pPr>
      <w:r>
        <w:rPr/>
        <w:t xml:space="preserve">  </w:t>
      </w:r>
    </w:p>
    <w:p>
      <w:pPr>
        <w:pStyle w:val="TextBody"/>
        <w:bidi w:val="0"/>
        <w:spacing w:before="0" w:after="0"/>
        <w:jc w:val="center"/>
        <w:rPr/>
      </w:pPr>
      <w:r>
        <w:rPr>
          <w:b/>
          <w:color w:val="000000"/>
          <w:sz w:val="20"/>
        </w:rPr>
        <w:t>PURSUANT TO RULE 13a-16 or 15d-16</w:t>
      </w:r>
      <w:r>
        <w:rPr/>
        <w:t xml:space="preserve"> </w:t>
      </w:r>
    </w:p>
    <w:p>
      <w:pPr>
        <w:pStyle w:val="TextBody"/>
        <w:bidi w:val="0"/>
        <w:spacing w:before="0" w:after="0"/>
        <w:jc w:val="center"/>
        <w:rPr/>
      </w:pPr>
      <w:r>
        <w:rPr>
          <w:b/>
          <w:color w:val="000000"/>
          <w:sz w:val="20"/>
        </w:rPr>
        <w:t>UNDER THE SECURITIES EXCHANGE ACT OF 1934</w:t>
      </w:r>
      <w:r>
        <w:rPr/>
        <w:t xml:space="preserve"> </w:t>
      </w:r>
    </w:p>
    <w:tbl>
      <w:tblPr>
        <w:tblW w:w="678" w:type="dxa"/>
        <w:jc w:val="left"/>
        <w:tblInd w:w="0" w:type="dxa"/>
        <w:tblLayout w:type="fixed"/>
        <w:tblCellMar>
          <w:top w:w="0" w:type="dxa"/>
          <w:left w:w="0" w:type="dxa"/>
          <w:bottom w:w="0" w:type="dxa"/>
          <w:right w:w="0" w:type="dxa"/>
        </w:tblCellMar>
      </w:tblPr>
      <w:tblGrid>
        <w:gridCol w:w="221"/>
        <w:gridCol w:w="206"/>
        <w:gridCol w:w="251"/>
      </w:tblGrid>
      <w:tr>
        <w:trPr/>
        <w:tc>
          <w:tcPr>
            <w:tcW w:w="221"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251" w:type="dxa"/>
            <w:tcBorders/>
            <w:vAlign w:val="center"/>
          </w:tcPr>
          <w:p>
            <w:pPr>
              <w:pStyle w:val="TableContents"/>
              <w:bidi w:val="0"/>
              <w:spacing w:before="0" w:after="283"/>
              <w:jc w:val="left"/>
              <w:rPr/>
            </w:pPr>
            <w:r>
              <w:rPr/>
              <w:t xml:space="preserve">  </w:t>
            </w:r>
          </w:p>
        </w:tc>
      </w:tr>
      <w:tr>
        <w:trPr/>
        <w:tc>
          <w:tcPr>
            <w:tcW w:w="678" w:type="dxa"/>
            <w:gridSpan w:val="3"/>
            <w:tcBorders>
              <w:top w:val="single" w:sz="12" w:space="0" w:color="000000"/>
            </w:tcBorders>
            <w:tcMar>
              <w:top w:w="28" w:type="dxa"/>
            </w:tcMar>
            <w:vAlign w:val="center"/>
          </w:tcPr>
          <w:p>
            <w:pPr>
              <w:pStyle w:val="TableContents"/>
              <w:bidi w:val="0"/>
              <w:spacing w:before="0" w:after="283"/>
              <w:jc w:val="left"/>
              <w:rPr/>
            </w:pPr>
            <w:r>
              <w:rPr/>
              <w:t xml:space="preserve">  </w:t>
            </w:r>
          </w:p>
        </w:tc>
      </w:tr>
    </w:tbl>
    <w:p>
      <w:pPr>
        <w:pStyle w:val="TextBody"/>
        <w:bidi w:val="0"/>
        <w:spacing w:before="0" w:after="0"/>
        <w:jc w:val="center"/>
        <w:rPr/>
      </w:pPr>
      <w:r>
        <w:rPr>
          <w:color w:val="000000"/>
          <w:sz w:val="20"/>
        </w:rPr>
        <w:t>For the Month of: September 2026</w:t>
      </w:r>
      <w:r>
        <w:rPr/>
        <w:t xml:space="preserve"> </w:t>
      </w:r>
    </w:p>
    <w:p>
      <w:pPr>
        <w:pStyle w:val="TextBody"/>
        <w:bidi w:val="0"/>
        <w:spacing w:before="0" w:after="0"/>
        <w:jc w:val="center"/>
        <w:rPr/>
      </w:pPr>
      <w:r>
        <w:rPr>
          <w:color w:val="000000"/>
          <w:sz w:val="20"/>
        </w:rPr>
        <w:t>Commission File Number: 001-40207</w:t>
      </w:r>
      <w:r>
        <w:rPr/>
        <w:t xml:space="preserve"> </w:t>
      </w:r>
    </w:p>
    <w:p>
      <w:pPr>
        <w:pStyle w:val="TextBody"/>
        <w:bidi w:val="0"/>
        <w:spacing w:before="0" w:after="0"/>
        <w:jc w:val="left"/>
        <w:rPr/>
      </w:pPr>
      <w:r>
        <w:rPr/>
        <w:t xml:space="preserve">  </w:t>
      </w:r>
    </w:p>
    <w:p>
      <w:pPr>
        <w:pStyle w:val="TextBody"/>
        <w:bidi w:val="0"/>
        <w:spacing w:before="0" w:after="0"/>
        <w:jc w:val="center"/>
        <w:rPr/>
      </w:pPr>
      <w:r>
        <w:rPr>
          <w:b/>
          <w:color w:val="000000"/>
          <w:sz w:val="20"/>
        </w:rPr>
        <w:t>Waldencast plc</w:t>
      </w:r>
      <w:r>
        <w:rPr/>
        <w:t xml:space="preserve"> </w:t>
      </w:r>
    </w:p>
    <w:p>
      <w:pPr>
        <w:pStyle w:val="TextBody"/>
        <w:bidi w:val="0"/>
        <w:spacing w:before="0" w:after="0"/>
        <w:jc w:val="center"/>
        <w:rPr/>
      </w:pPr>
      <w:r>
        <w:rPr>
          <w:color w:val="000000"/>
          <w:sz w:val="20"/>
        </w:rPr>
        <w:t>(Translation of Registrant’s name into English)</w:t>
      </w:r>
      <w:r>
        <w:rPr/>
        <w:t xml:space="preserve"> </w:t>
      </w:r>
    </w:p>
    <w:p>
      <w:pPr>
        <w:pStyle w:val="TextBody"/>
        <w:bidi w:val="0"/>
        <w:spacing w:before="0" w:after="0"/>
        <w:jc w:val="left"/>
        <w:rPr/>
      </w:pPr>
      <w:r>
        <w:rPr/>
        <w:t xml:space="preserve">  </w:t>
      </w:r>
    </w:p>
    <w:p>
      <w:pPr>
        <w:pStyle w:val="TextBody"/>
        <w:bidi w:val="0"/>
        <w:spacing w:before="0" w:after="0"/>
        <w:jc w:val="center"/>
        <w:rPr/>
      </w:pPr>
      <w:r>
        <w:rPr>
          <w:b/>
          <w:color w:val="000000"/>
          <w:sz w:val="20"/>
        </w:rPr>
        <w:t>81 Fulham Road</w:t>
      </w:r>
      <w:r>
        <w:rPr/>
        <w:t xml:space="preserve"> </w:t>
      </w:r>
    </w:p>
    <w:p>
      <w:pPr>
        <w:pStyle w:val="TextBody"/>
        <w:bidi w:val="0"/>
        <w:spacing w:before="0" w:after="0"/>
        <w:jc w:val="center"/>
        <w:rPr/>
      </w:pPr>
      <w:r>
        <w:rPr>
          <w:b/>
          <w:color w:val="000000"/>
          <w:sz w:val="20"/>
        </w:rPr>
        <w:t>London, SW3 6RD</w:t>
      </w:r>
      <w:r>
        <w:rPr/>
        <w:t xml:space="preserve"> </w:t>
      </w:r>
    </w:p>
    <w:p>
      <w:pPr>
        <w:pStyle w:val="TextBody"/>
        <w:bidi w:val="0"/>
        <w:spacing w:before="0" w:after="0"/>
        <w:jc w:val="center"/>
        <w:rPr/>
      </w:pPr>
      <w:r>
        <w:rPr>
          <w:b/>
          <w:color w:val="000000"/>
          <w:sz w:val="20"/>
        </w:rPr>
        <w:t>United Kingdom</w:t>
      </w:r>
      <w:r>
        <w:rPr/>
        <w:t xml:space="preserve"> </w:t>
      </w:r>
    </w:p>
    <w:p>
      <w:pPr>
        <w:pStyle w:val="TextBody"/>
        <w:bidi w:val="0"/>
        <w:spacing w:before="0" w:after="0"/>
        <w:jc w:val="center"/>
        <w:rPr/>
      </w:pPr>
      <w:r>
        <w:rPr>
          <w:color w:val="000000"/>
          <w:sz w:val="20"/>
        </w:rPr>
        <w:t>(Address of principal executive office)</w:t>
      </w:r>
      <w:r>
        <w:rPr/>
        <w:t xml:space="preserve"> </w:t>
      </w:r>
    </w:p>
    <w:p>
      <w:pPr>
        <w:pStyle w:val="TextBody"/>
        <w:bidi w:val="0"/>
        <w:spacing w:before="0" w:after="0"/>
        <w:jc w:val="left"/>
        <w:rPr/>
      </w:pPr>
      <w:r>
        <w:rPr/>
        <w:t xml:space="preserve">  </w:t>
      </w:r>
    </w:p>
    <w:p>
      <w:pPr>
        <w:pStyle w:val="TextBody"/>
        <w:bidi w:val="0"/>
        <w:spacing w:before="0" w:after="0"/>
        <w:jc w:val="center"/>
        <w:rPr/>
      </w:pPr>
      <w:r>
        <w:rPr>
          <w:color w:val="000000"/>
          <w:sz w:val="20"/>
        </w:rPr>
        <w:t>Indicate by check mark whether the registrant files or will file annual reports under cover of Form 20-F or Form 40-F:</w:t>
      </w:r>
      <w:r>
        <w:rPr/>
        <w:t xml:space="preserve"> </w:t>
      </w:r>
    </w:p>
    <w:p>
      <w:pPr>
        <w:pStyle w:val="TextBody"/>
        <w:bidi w:val="0"/>
        <w:spacing w:before="0" w:after="0"/>
        <w:jc w:val="left"/>
        <w:rPr/>
      </w:pPr>
      <w:r>
        <w:rPr/>
        <w:t xml:space="preserve">  </w:t>
      </w:r>
    </w:p>
    <w:p>
      <w:pPr>
        <w:pStyle w:val="TextBody"/>
        <w:bidi w:val="0"/>
        <w:spacing w:before="0" w:after="0"/>
        <w:jc w:val="center"/>
        <w:rPr/>
      </w:pPr>
      <w:r>
        <w:rPr>
          <w:color w:val="000000"/>
        </w:rPr>
        <w:t xml:space="preserve">☒ </w:t>
      </w:r>
      <w:r>
        <w:rPr>
          <w:color w:val="000000"/>
          <w:sz w:val="20"/>
        </w:rPr>
        <w:t xml:space="preserve">Form 20-F </w:t>
      </w:r>
      <w:r>
        <w:rPr>
          <w:color w:val="000000"/>
        </w:rPr>
        <w:t xml:space="preserve">☐ </w:t>
      </w:r>
      <w:r>
        <w:rPr>
          <w:color w:val="000000"/>
          <w:sz w:val="20"/>
        </w:rPr>
        <w:t>Form 40-F</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t xml:space="preserve">  </w:t>
      </w:r>
    </w:p>
    <w:p>
      <w:pPr>
        <w:pStyle w:val="TextBody"/>
        <w:bidi w:val="0"/>
        <w:spacing w:before="0" w:after="0"/>
        <w:jc w:val="left"/>
        <w:rPr/>
      </w:pPr>
      <w:r>
        <w:rPr/>
        <w:t xml:space="preserve">  </w:t>
      </w:r>
    </w:p>
    <w:p>
      <w:pPr>
        <w:pStyle w:val="TextBody"/>
        <w:bidi w:val="0"/>
        <w:spacing w:before="0" w:after="0"/>
        <w:jc w:val="center"/>
        <w:rPr/>
      </w:pPr>
      <w:r>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b/>
          <w:color w:val="000000"/>
          <w:sz w:val="20"/>
        </w:rPr>
        <w:t>Waldencast plc Files Form 25 to Voluntary Delist from Nasdaq and Deregister its Securities under the Exchange Act</w:t>
      </w:r>
      <w:r>
        <w:rPr/>
        <w:t xml:space="preserve"> </w:t>
      </w:r>
    </w:p>
    <w:p>
      <w:pPr>
        <w:pStyle w:val="TextBody"/>
        <w:bidi w:val="0"/>
        <w:spacing w:before="0" w:after="0"/>
        <w:jc w:val="both"/>
        <w:rPr/>
      </w:pPr>
      <w:r>
        <w:rPr>
          <w:color w:val="000000"/>
          <w:sz w:val="20"/>
        </w:rPr>
        <w:t>On September 24, 2026, Waldencast plc issued a press release, a copy of which is attached hereto as Exhibit 99.1 to this Form 6-K.</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sz w:val="20"/>
        </w:rPr>
        <w:t>The information in this Report on Form 6-K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r>
        <w:rPr/>
        <w:t xml:space="preserve"> </w:t>
      </w:r>
    </w:p>
    <w:p>
      <w:pPr>
        <w:pStyle w:val="TextBody"/>
        <w:bidi w:val="0"/>
        <w:spacing w:before="0" w:after="0"/>
        <w:jc w:val="center"/>
        <w:rPr/>
      </w:pPr>
      <w:r>
        <w:rPr>
          <w:b/>
          <w:color w:val="000000"/>
          <w:sz w:val="20"/>
        </w:rPr>
        <w:t>EXHIBIT INDEX</w:t>
      </w:r>
      <w:r>
        <w:rPr/>
        <w:t xml:space="preserve"> </w:t>
      </w:r>
    </w:p>
    <w:p>
      <w:pPr>
        <w:pStyle w:val="TextBody"/>
        <w:bidi w:val="0"/>
        <w:spacing w:before="0" w:after="0"/>
        <w:jc w:val="left"/>
        <w:rPr/>
      </w:pPr>
      <w:r>
        <w:rPr/>
        <w:t xml:space="preserve">  </w:t>
      </w:r>
    </w:p>
    <w:tbl>
      <w:tblPr>
        <w:tblW w:w="6633" w:type="dxa"/>
        <w:jc w:val="left"/>
        <w:tblInd w:w="0" w:type="dxa"/>
        <w:tblLayout w:type="fixed"/>
        <w:tblCellMar>
          <w:top w:w="0" w:type="dxa"/>
          <w:left w:w="0" w:type="dxa"/>
          <w:bottom w:w="0" w:type="dxa"/>
          <w:right w:w="0" w:type="dxa"/>
        </w:tblCellMar>
      </w:tblPr>
      <w:tblGrid>
        <w:gridCol w:w="462"/>
        <w:gridCol w:w="420"/>
        <w:gridCol w:w="423"/>
        <w:gridCol w:w="206"/>
        <w:gridCol w:w="206"/>
        <w:gridCol w:w="206"/>
        <w:gridCol w:w="1421"/>
        <w:gridCol w:w="1421"/>
        <w:gridCol w:w="1868"/>
      </w:tblGrid>
      <w:tr>
        <w:trPr/>
        <w:tc>
          <w:tcPr>
            <w:tcW w:w="462" w:type="dxa"/>
            <w:tcBorders/>
            <w:vAlign w:val="center"/>
          </w:tcPr>
          <w:p>
            <w:pPr>
              <w:pStyle w:val="TableContents"/>
              <w:bidi w:val="0"/>
              <w:spacing w:before="0" w:after="283"/>
              <w:jc w:val="left"/>
              <w:rPr/>
            </w:pPr>
            <w:r>
              <w:rPr/>
              <w:t xml:space="preserve">  </w:t>
            </w:r>
          </w:p>
        </w:tc>
        <w:tc>
          <w:tcPr>
            <w:tcW w:w="420" w:type="dxa"/>
            <w:tcBorders/>
            <w:vAlign w:val="center"/>
          </w:tcPr>
          <w:p>
            <w:pPr>
              <w:pStyle w:val="TableContents"/>
              <w:bidi w:val="0"/>
              <w:spacing w:before="0" w:after="283"/>
              <w:jc w:val="left"/>
              <w:rPr/>
            </w:pPr>
            <w:r>
              <w:rPr/>
              <w:t xml:space="preserve">  </w:t>
            </w:r>
          </w:p>
        </w:tc>
        <w:tc>
          <w:tcPr>
            <w:tcW w:w="423"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1421" w:type="dxa"/>
            <w:tcBorders/>
            <w:vAlign w:val="center"/>
          </w:tcPr>
          <w:p>
            <w:pPr>
              <w:pStyle w:val="TableContents"/>
              <w:bidi w:val="0"/>
              <w:spacing w:before="0" w:after="283"/>
              <w:jc w:val="left"/>
              <w:rPr/>
            </w:pPr>
            <w:r>
              <w:rPr/>
              <w:t xml:space="preserve">  </w:t>
            </w:r>
          </w:p>
        </w:tc>
        <w:tc>
          <w:tcPr>
            <w:tcW w:w="1421" w:type="dxa"/>
            <w:tcBorders/>
            <w:vAlign w:val="center"/>
          </w:tcPr>
          <w:p>
            <w:pPr>
              <w:pStyle w:val="TableContents"/>
              <w:bidi w:val="0"/>
              <w:spacing w:before="0" w:after="283"/>
              <w:jc w:val="left"/>
              <w:rPr/>
            </w:pPr>
            <w:r>
              <w:rPr/>
              <w:t xml:space="preserve">  </w:t>
            </w:r>
          </w:p>
        </w:tc>
        <w:tc>
          <w:tcPr>
            <w:tcW w:w="1868" w:type="dxa"/>
            <w:tcBorders/>
            <w:vAlign w:val="center"/>
          </w:tcPr>
          <w:p>
            <w:pPr>
              <w:pStyle w:val="TableContents"/>
              <w:bidi w:val="0"/>
              <w:spacing w:before="0" w:after="283"/>
              <w:jc w:val="left"/>
              <w:rPr/>
            </w:pPr>
            <w:r>
              <w:rPr/>
              <w:t xml:space="preserve">  </w:t>
            </w:r>
          </w:p>
        </w:tc>
      </w:tr>
      <w:tr>
        <w:trPr/>
        <w:tc>
          <w:tcPr>
            <w:tcW w:w="1305" w:type="dxa"/>
            <w:gridSpan w:val="3"/>
            <w:tcBorders/>
            <w:vAlign w:val="center"/>
          </w:tcPr>
          <w:p>
            <w:pPr>
              <w:pStyle w:val="TableContents"/>
              <w:bidi w:val="0"/>
              <w:spacing w:before="0" w:after="0"/>
              <w:jc w:val="center"/>
              <w:rPr/>
            </w:pPr>
            <w:r>
              <w:rPr>
                <w:color w:val="000000"/>
                <w:sz w:val="20"/>
              </w:rPr>
              <w:t>EXHIBIT NO.</w:t>
            </w:r>
            <w:r>
              <w:rPr/>
              <w:t xml:space="preserve"> </w:t>
            </w:r>
          </w:p>
        </w:tc>
        <w:tc>
          <w:tcPr>
            <w:tcW w:w="618" w:type="dxa"/>
            <w:gridSpan w:val="3"/>
            <w:tcBorders/>
            <w:vAlign w:val="center"/>
          </w:tcPr>
          <w:p>
            <w:pPr>
              <w:pStyle w:val="TableContents"/>
              <w:bidi w:val="0"/>
              <w:spacing w:before="0" w:after="283"/>
              <w:jc w:val="left"/>
              <w:rPr/>
            </w:pPr>
            <w:r>
              <w:rPr/>
              <w:t xml:space="preserve">  </w:t>
            </w:r>
          </w:p>
        </w:tc>
        <w:tc>
          <w:tcPr>
            <w:tcW w:w="4710" w:type="dxa"/>
            <w:gridSpan w:val="3"/>
            <w:tcBorders/>
            <w:vAlign w:val="center"/>
          </w:tcPr>
          <w:p>
            <w:pPr>
              <w:pStyle w:val="TableContents"/>
              <w:bidi w:val="0"/>
              <w:spacing w:before="0" w:after="0"/>
              <w:jc w:val="center"/>
              <w:rPr/>
            </w:pPr>
            <w:r>
              <w:rPr>
                <w:color w:val="000000"/>
                <w:sz w:val="20"/>
              </w:rPr>
              <w:t>DESCRIPTION</w:t>
            </w:r>
            <w:r>
              <w:rPr/>
              <w:t xml:space="preserve"> </w:t>
            </w:r>
          </w:p>
        </w:tc>
      </w:tr>
      <w:tr>
        <w:trPr/>
        <w:tc>
          <w:tcPr>
            <w:tcW w:w="1305" w:type="dxa"/>
            <w:gridSpan w:val="3"/>
            <w:tcBorders>
              <w:top w:val="single" w:sz="12" w:space="0" w:color="000000"/>
            </w:tcBorders>
            <w:shd w:fill="CCEEFF" w:val="clear"/>
            <w:tcMar>
              <w:top w:w="30" w:type="dxa"/>
            </w:tcMar>
            <w:vAlign w:val="center"/>
          </w:tcPr>
          <w:p>
            <w:pPr>
              <w:pStyle w:val="TableContents"/>
              <w:bidi w:val="0"/>
              <w:spacing w:before="0" w:after="0"/>
              <w:jc w:val="center"/>
              <w:rPr/>
            </w:pPr>
            <w:r>
              <w:rPr>
                <w:color w:val="000000"/>
                <w:sz w:val="20"/>
              </w:rPr>
              <w:t>99.1</w:t>
            </w:r>
            <w:r>
              <w:rPr/>
              <w:t xml:space="preserve"> </w:t>
            </w:r>
          </w:p>
        </w:tc>
        <w:tc>
          <w:tcPr>
            <w:tcW w:w="618" w:type="dxa"/>
            <w:gridSpan w:val="3"/>
            <w:tcBorders/>
            <w:shd w:fill="CCEEFF" w:val="clear"/>
            <w:vAlign w:val="center"/>
          </w:tcPr>
          <w:p>
            <w:pPr>
              <w:pStyle w:val="TableContents"/>
              <w:bidi w:val="0"/>
              <w:spacing w:before="0" w:after="283"/>
              <w:jc w:val="left"/>
              <w:rPr/>
            </w:pPr>
            <w:r>
              <w:rPr/>
              <w:t xml:space="preserve">  </w:t>
            </w:r>
          </w:p>
        </w:tc>
        <w:tc>
          <w:tcPr>
            <w:tcW w:w="4710" w:type="dxa"/>
            <w:gridSpan w:val="3"/>
            <w:tcBorders>
              <w:top w:val="single" w:sz="12" w:space="0" w:color="000000"/>
            </w:tcBorders>
            <w:shd w:fill="CFF0FC" w:val="clear"/>
            <w:tcMar>
              <w:top w:w="30" w:type="dxa"/>
            </w:tcMar>
            <w:vAlign w:val="center"/>
          </w:tcPr>
          <w:p>
            <w:pPr>
              <w:pStyle w:val="TableContents"/>
              <w:bidi w:val="0"/>
              <w:spacing w:before="0" w:after="0"/>
              <w:jc w:val="left"/>
              <w:rPr/>
            </w:pPr>
            <w:r>
              <w:rPr>
                <w:sz w:val="20"/>
              </w:rPr>
              <w:t>Waldencast plc press release, dated September 24, 2026</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b/>
          <w:color w:val="000000"/>
          <w:sz w:val="20"/>
        </w:rPr>
        <w:t>SIGNATURE</w:t>
      </w:r>
      <w:r>
        <w:rPr/>
        <w:t xml:space="preserve"> </w:t>
      </w:r>
    </w:p>
    <w:p>
      <w:pPr>
        <w:pStyle w:val="TextBody"/>
        <w:bidi w:val="0"/>
        <w:spacing w:before="0" w:after="0"/>
        <w:jc w:val="center"/>
        <w:rPr/>
      </w:pPr>
      <w:r>
        <w:rPr/>
        <w:t xml:space="preserve">  </w:t>
      </w:r>
    </w:p>
    <w:p>
      <w:pPr>
        <w:pStyle w:val="TextBody"/>
        <w:bidi w:val="0"/>
        <w:spacing w:before="0" w:after="0"/>
        <w:ind w:left="0" w:right="0" w:firstLine="720"/>
        <w:jc w:val="both"/>
        <w:rPr/>
      </w:pPr>
      <w:r>
        <w:rPr>
          <w:color w:val="000000"/>
          <w:sz w:val="20"/>
        </w:rPr>
        <w:t>Pursuant to the requirements of the Securities Exchange Act of 1934, the registrant has duly caused this report to be signed on its behalf by the undersigned, thereunto duly authorized.</w:t>
      </w:r>
      <w:r>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788"/>
        <w:gridCol w:w="734"/>
        <w:gridCol w:w="734"/>
        <w:gridCol w:w="205"/>
        <w:gridCol w:w="205"/>
        <w:gridCol w:w="205"/>
        <w:gridCol w:w="233"/>
        <w:gridCol w:w="233"/>
        <w:gridCol w:w="233"/>
        <w:gridCol w:w="2060"/>
        <w:gridCol w:w="2060"/>
        <w:gridCol w:w="2515"/>
      </w:tblGrid>
      <w:tr>
        <w:trPr/>
        <w:tc>
          <w:tcPr>
            <w:tcW w:w="788" w:type="dxa"/>
            <w:tcBorders/>
            <w:vAlign w:val="center"/>
          </w:tcPr>
          <w:p>
            <w:pPr>
              <w:pStyle w:val="TableContents"/>
              <w:bidi w:val="0"/>
              <w:spacing w:before="0" w:after="283"/>
              <w:jc w:val="left"/>
              <w:rPr/>
            </w:pPr>
            <w:r>
              <w:rPr/>
              <w:t xml:space="preserve">  </w:t>
            </w:r>
          </w:p>
        </w:tc>
        <w:tc>
          <w:tcPr>
            <w:tcW w:w="734" w:type="dxa"/>
            <w:tcBorders/>
            <w:vAlign w:val="center"/>
          </w:tcPr>
          <w:p>
            <w:pPr>
              <w:pStyle w:val="TableContents"/>
              <w:bidi w:val="0"/>
              <w:spacing w:before="0" w:after="283"/>
              <w:jc w:val="left"/>
              <w:rPr/>
            </w:pPr>
            <w:r>
              <w:rPr/>
              <w:t xml:space="preserve">  </w:t>
            </w:r>
          </w:p>
        </w:tc>
        <w:tc>
          <w:tcPr>
            <w:tcW w:w="734" w:type="dxa"/>
            <w:tcBorders/>
            <w:vAlign w:val="center"/>
          </w:tcPr>
          <w:p>
            <w:pPr>
              <w:pStyle w:val="TableContents"/>
              <w:bidi w:val="0"/>
              <w:spacing w:before="0" w:after="283"/>
              <w:jc w:val="left"/>
              <w:rPr/>
            </w:pPr>
            <w:r>
              <w:rPr/>
              <w:t xml:space="preserve">  </w:t>
            </w:r>
          </w:p>
        </w:tc>
        <w:tc>
          <w:tcPr>
            <w:tcW w:w="205" w:type="dxa"/>
            <w:tcBorders/>
            <w:vAlign w:val="center"/>
          </w:tcPr>
          <w:p>
            <w:pPr>
              <w:pStyle w:val="TableContents"/>
              <w:bidi w:val="0"/>
              <w:spacing w:before="0" w:after="283"/>
              <w:jc w:val="left"/>
              <w:rPr/>
            </w:pPr>
            <w:r>
              <w:rPr/>
              <w:t xml:space="preserve">  </w:t>
            </w:r>
          </w:p>
        </w:tc>
        <w:tc>
          <w:tcPr>
            <w:tcW w:w="205" w:type="dxa"/>
            <w:tcBorders/>
            <w:vAlign w:val="center"/>
          </w:tcPr>
          <w:p>
            <w:pPr>
              <w:pStyle w:val="TableContents"/>
              <w:bidi w:val="0"/>
              <w:spacing w:before="0" w:after="283"/>
              <w:jc w:val="left"/>
              <w:rPr/>
            </w:pPr>
            <w:r>
              <w:rPr/>
              <w:t xml:space="preserve">  </w:t>
            </w:r>
          </w:p>
        </w:tc>
        <w:tc>
          <w:tcPr>
            <w:tcW w:w="205" w:type="dxa"/>
            <w:tcBorders/>
            <w:vAlign w:val="center"/>
          </w:tcPr>
          <w:p>
            <w:pPr>
              <w:pStyle w:val="TableContents"/>
              <w:bidi w:val="0"/>
              <w:spacing w:before="0" w:after="283"/>
              <w:jc w:val="left"/>
              <w:rPr/>
            </w:pPr>
            <w:r>
              <w:rPr/>
              <w:t xml:space="preserve">  </w:t>
            </w:r>
          </w:p>
        </w:tc>
        <w:tc>
          <w:tcPr>
            <w:tcW w:w="233" w:type="dxa"/>
            <w:tcBorders/>
            <w:vAlign w:val="center"/>
          </w:tcPr>
          <w:p>
            <w:pPr>
              <w:pStyle w:val="TableContents"/>
              <w:bidi w:val="0"/>
              <w:spacing w:before="0" w:after="283"/>
              <w:jc w:val="left"/>
              <w:rPr/>
            </w:pPr>
            <w:r>
              <w:rPr/>
              <w:t xml:space="preserve">  </w:t>
            </w:r>
          </w:p>
        </w:tc>
        <w:tc>
          <w:tcPr>
            <w:tcW w:w="233" w:type="dxa"/>
            <w:tcBorders/>
            <w:vAlign w:val="center"/>
          </w:tcPr>
          <w:p>
            <w:pPr>
              <w:pStyle w:val="TableContents"/>
              <w:bidi w:val="0"/>
              <w:spacing w:before="0" w:after="283"/>
              <w:jc w:val="left"/>
              <w:rPr/>
            </w:pPr>
            <w:r>
              <w:rPr/>
              <w:t xml:space="preserve">  </w:t>
            </w:r>
          </w:p>
        </w:tc>
        <w:tc>
          <w:tcPr>
            <w:tcW w:w="233" w:type="dxa"/>
            <w:tcBorders/>
            <w:vAlign w:val="center"/>
          </w:tcPr>
          <w:p>
            <w:pPr>
              <w:pStyle w:val="TableContents"/>
              <w:bidi w:val="0"/>
              <w:spacing w:before="0" w:after="283"/>
              <w:jc w:val="left"/>
              <w:rPr/>
            </w:pPr>
            <w:r>
              <w:rPr/>
              <w:t xml:space="preserve">  </w:t>
            </w:r>
          </w:p>
        </w:tc>
        <w:tc>
          <w:tcPr>
            <w:tcW w:w="2060" w:type="dxa"/>
            <w:tcBorders/>
            <w:vAlign w:val="center"/>
          </w:tcPr>
          <w:p>
            <w:pPr>
              <w:pStyle w:val="TableContents"/>
              <w:bidi w:val="0"/>
              <w:spacing w:before="0" w:after="283"/>
              <w:jc w:val="left"/>
              <w:rPr/>
            </w:pPr>
            <w:r>
              <w:rPr/>
              <w:t xml:space="preserve">  </w:t>
            </w:r>
          </w:p>
        </w:tc>
        <w:tc>
          <w:tcPr>
            <w:tcW w:w="2060" w:type="dxa"/>
            <w:tcBorders/>
            <w:vAlign w:val="center"/>
          </w:tcPr>
          <w:p>
            <w:pPr>
              <w:pStyle w:val="TableContents"/>
              <w:bidi w:val="0"/>
              <w:spacing w:before="0" w:after="283"/>
              <w:jc w:val="left"/>
              <w:rPr/>
            </w:pPr>
            <w:r>
              <w:rPr/>
              <w:t xml:space="preserve">  </w:t>
            </w:r>
          </w:p>
        </w:tc>
        <w:tc>
          <w:tcPr>
            <w:tcW w:w="2515" w:type="dxa"/>
            <w:tcBorders/>
            <w:vAlign w:val="center"/>
          </w:tcPr>
          <w:p>
            <w:pPr>
              <w:pStyle w:val="TableContents"/>
              <w:bidi w:val="0"/>
              <w:spacing w:before="0" w:after="283"/>
              <w:jc w:val="left"/>
              <w:rPr/>
            </w:pPr>
            <w:r>
              <w:rPr/>
              <w:t xml:space="preserve">  </w:t>
            </w:r>
          </w:p>
        </w:tc>
      </w:tr>
      <w:tr>
        <w:trPr/>
        <w:tc>
          <w:tcPr>
            <w:tcW w:w="2256" w:type="dxa"/>
            <w:gridSpan w:val="3"/>
            <w:tcBorders/>
            <w:vAlign w:val="center"/>
          </w:tcPr>
          <w:p>
            <w:pPr>
              <w:pStyle w:val="TableContents"/>
              <w:bidi w:val="0"/>
              <w:spacing w:before="0" w:after="283"/>
              <w:jc w:val="left"/>
              <w:rPr/>
            </w:pPr>
            <w:r>
              <w:rPr/>
              <w:t xml:space="preserve">  </w:t>
            </w:r>
          </w:p>
        </w:tc>
        <w:tc>
          <w:tcPr>
            <w:tcW w:w="615" w:type="dxa"/>
            <w:gridSpan w:val="3"/>
            <w:tcBorders/>
            <w:vAlign w:val="center"/>
          </w:tcPr>
          <w:p>
            <w:pPr>
              <w:pStyle w:val="TableContents"/>
              <w:bidi w:val="0"/>
              <w:spacing w:before="0" w:after="283"/>
              <w:jc w:val="left"/>
              <w:rPr/>
            </w:pPr>
            <w:r>
              <w:rPr/>
              <w:t xml:space="preserve">  </w:t>
            </w:r>
          </w:p>
        </w:tc>
        <w:tc>
          <w:tcPr>
            <w:tcW w:w="7334" w:type="dxa"/>
            <w:gridSpan w:val="6"/>
            <w:tcBorders>
              <w:bottom w:val="single" w:sz="8" w:space="0" w:color="000000"/>
            </w:tcBorders>
            <w:tcMar>
              <w:bottom w:w="30" w:type="dxa"/>
            </w:tcMar>
            <w:vAlign w:val="center"/>
          </w:tcPr>
          <w:p>
            <w:pPr>
              <w:pStyle w:val="TableContents"/>
              <w:bidi w:val="0"/>
              <w:spacing w:before="0" w:after="0"/>
              <w:jc w:val="left"/>
              <w:rPr/>
            </w:pPr>
            <w:r>
              <w:rPr>
                <w:color w:val="000000"/>
                <w:sz w:val="20"/>
              </w:rPr>
              <w:t>Waldencast plc</w:t>
            </w:r>
            <w:r>
              <w:rPr/>
              <w:t xml:space="preserve"> </w:t>
            </w:r>
          </w:p>
        </w:tc>
      </w:tr>
      <w:tr>
        <w:trPr/>
        <w:tc>
          <w:tcPr>
            <w:tcW w:w="2256" w:type="dxa"/>
            <w:gridSpan w:val="3"/>
            <w:tcBorders/>
            <w:vAlign w:val="center"/>
          </w:tcPr>
          <w:p>
            <w:pPr>
              <w:pStyle w:val="TableContents"/>
              <w:bidi w:val="0"/>
              <w:spacing w:before="0" w:after="283"/>
              <w:jc w:val="left"/>
              <w:rPr/>
            </w:pPr>
            <w:r>
              <w:rPr/>
              <w:t xml:space="preserve">  </w:t>
            </w:r>
          </w:p>
        </w:tc>
        <w:tc>
          <w:tcPr>
            <w:tcW w:w="615" w:type="dxa"/>
            <w:gridSpan w:val="3"/>
            <w:tcBorders/>
            <w:vAlign w:val="center"/>
          </w:tcPr>
          <w:p>
            <w:pPr>
              <w:pStyle w:val="TableContents"/>
              <w:bidi w:val="0"/>
              <w:spacing w:before="0" w:after="283"/>
              <w:jc w:val="left"/>
              <w:rPr/>
            </w:pPr>
            <w:r>
              <w:rPr/>
              <w:t xml:space="preserve">  </w:t>
            </w:r>
          </w:p>
        </w:tc>
        <w:tc>
          <w:tcPr>
            <w:tcW w:w="7334" w:type="dxa"/>
            <w:gridSpan w:val="6"/>
            <w:tcBorders>
              <w:top w:val="single" w:sz="8" w:space="0" w:color="000000"/>
            </w:tcBorders>
            <w:tcMar>
              <w:top w:w="30" w:type="dxa"/>
            </w:tcMar>
            <w:vAlign w:val="center"/>
          </w:tcPr>
          <w:p>
            <w:pPr>
              <w:pStyle w:val="TableContents"/>
              <w:bidi w:val="0"/>
              <w:spacing w:before="0" w:after="0"/>
              <w:jc w:val="left"/>
              <w:rPr/>
            </w:pPr>
            <w:r>
              <w:rPr>
                <w:color w:val="000000"/>
                <w:sz w:val="20"/>
              </w:rPr>
              <w:t>(Registrant)</w:t>
            </w:r>
            <w:r>
              <w:rPr/>
              <w:t xml:space="preserve"> </w:t>
            </w:r>
          </w:p>
        </w:tc>
      </w:tr>
      <w:tr>
        <w:trPr/>
        <w:tc>
          <w:tcPr>
            <w:tcW w:w="2256" w:type="dxa"/>
            <w:gridSpan w:val="3"/>
            <w:tcBorders/>
            <w:vAlign w:val="center"/>
          </w:tcPr>
          <w:p>
            <w:pPr>
              <w:pStyle w:val="TableContents"/>
              <w:bidi w:val="0"/>
              <w:spacing w:before="0" w:after="283"/>
              <w:jc w:val="left"/>
              <w:rPr/>
            </w:pPr>
            <w:r>
              <w:rPr/>
              <w:t xml:space="preserve">  </w:t>
            </w:r>
          </w:p>
        </w:tc>
        <w:tc>
          <w:tcPr>
            <w:tcW w:w="615" w:type="dxa"/>
            <w:gridSpan w:val="3"/>
            <w:tcBorders/>
            <w:vAlign w:val="center"/>
          </w:tcPr>
          <w:p>
            <w:pPr>
              <w:pStyle w:val="TableContents"/>
              <w:bidi w:val="0"/>
              <w:spacing w:before="0" w:after="283"/>
              <w:jc w:val="left"/>
              <w:rPr/>
            </w:pPr>
            <w:r>
              <w:rPr/>
              <w:t xml:space="preserve">  </w:t>
            </w:r>
          </w:p>
        </w:tc>
        <w:tc>
          <w:tcPr>
            <w:tcW w:w="699" w:type="dxa"/>
            <w:gridSpan w:val="3"/>
            <w:tcBorders/>
            <w:vAlign w:val="center"/>
          </w:tcPr>
          <w:p>
            <w:pPr>
              <w:pStyle w:val="TableContents"/>
              <w:bidi w:val="0"/>
              <w:spacing w:before="0" w:after="283"/>
              <w:jc w:val="left"/>
              <w:rPr/>
            </w:pPr>
            <w:r>
              <w:rPr/>
              <w:t xml:space="preserve">  </w:t>
            </w:r>
          </w:p>
        </w:tc>
        <w:tc>
          <w:tcPr>
            <w:tcW w:w="6635" w:type="dxa"/>
            <w:gridSpan w:val="3"/>
            <w:tcBorders/>
            <w:vAlign w:val="center"/>
          </w:tcPr>
          <w:p>
            <w:pPr>
              <w:pStyle w:val="TableContents"/>
              <w:bidi w:val="0"/>
              <w:spacing w:before="0" w:after="283"/>
              <w:jc w:val="left"/>
              <w:rPr/>
            </w:pPr>
            <w:r>
              <w:rPr/>
              <w:t xml:space="preserve">  </w:t>
            </w:r>
          </w:p>
        </w:tc>
      </w:tr>
      <w:tr>
        <w:trPr/>
        <w:tc>
          <w:tcPr>
            <w:tcW w:w="2256" w:type="dxa"/>
            <w:gridSpan w:val="3"/>
            <w:tcBorders/>
            <w:vAlign w:val="center"/>
          </w:tcPr>
          <w:p>
            <w:pPr>
              <w:pStyle w:val="TableContents"/>
              <w:bidi w:val="0"/>
              <w:spacing w:before="0" w:after="0"/>
              <w:jc w:val="left"/>
              <w:rPr/>
            </w:pPr>
            <w:r>
              <w:rPr>
                <w:color w:val="000000"/>
                <w:sz w:val="20"/>
              </w:rPr>
              <w:t>Date: September 24, 2026</w:t>
            </w:r>
            <w:r>
              <w:rPr/>
              <w:t xml:space="preserve"> </w:t>
            </w:r>
          </w:p>
        </w:tc>
        <w:tc>
          <w:tcPr>
            <w:tcW w:w="615" w:type="dxa"/>
            <w:gridSpan w:val="3"/>
            <w:tcBorders/>
            <w:vAlign w:val="center"/>
          </w:tcPr>
          <w:p>
            <w:pPr>
              <w:pStyle w:val="TableContents"/>
              <w:bidi w:val="0"/>
              <w:spacing w:before="0" w:after="0"/>
              <w:jc w:val="left"/>
              <w:rPr/>
            </w:pPr>
            <w:r>
              <w:rPr>
                <w:color w:val="000000"/>
                <w:sz w:val="20"/>
              </w:rPr>
              <w:t>By:</w:t>
            </w:r>
            <w:r>
              <w:rPr/>
              <w:t xml:space="preserve"> </w:t>
            </w:r>
          </w:p>
        </w:tc>
        <w:tc>
          <w:tcPr>
            <w:tcW w:w="7334" w:type="dxa"/>
            <w:gridSpan w:val="6"/>
            <w:tcBorders/>
            <w:vAlign w:val="center"/>
          </w:tcPr>
          <w:p>
            <w:pPr>
              <w:pStyle w:val="TableContents"/>
              <w:bidi w:val="0"/>
              <w:spacing w:before="0" w:after="0"/>
              <w:jc w:val="left"/>
              <w:rPr/>
            </w:pPr>
            <w:r>
              <w:rPr>
                <w:color w:val="000000"/>
                <w:sz w:val="20"/>
              </w:rPr>
              <w:t>/s/ Felipe Dutra</w:t>
            </w:r>
            <w:r>
              <w:rPr/>
              <w:t xml:space="preserve"> </w:t>
            </w:r>
          </w:p>
        </w:tc>
      </w:tr>
      <w:tr>
        <w:trPr/>
        <w:tc>
          <w:tcPr>
            <w:tcW w:w="2256" w:type="dxa"/>
            <w:gridSpan w:val="3"/>
            <w:tcBorders/>
            <w:vAlign w:val="center"/>
          </w:tcPr>
          <w:p>
            <w:pPr>
              <w:pStyle w:val="TableContents"/>
              <w:bidi w:val="0"/>
              <w:spacing w:before="0" w:after="283"/>
              <w:jc w:val="left"/>
              <w:rPr/>
            </w:pPr>
            <w:r>
              <w:rPr/>
              <w:t xml:space="preserve">  </w:t>
            </w:r>
          </w:p>
        </w:tc>
        <w:tc>
          <w:tcPr>
            <w:tcW w:w="615" w:type="dxa"/>
            <w:gridSpan w:val="3"/>
            <w:tcBorders/>
            <w:vAlign w:val="center"/>
          </w:tcPr>
          <w:p>
            <w:pPr>
              <w:pStyle w:val="TableContents"/>
              <w:bidi w:val="0"/>
              <w:spacing w:before="0" w:after="283"/>
              <w:jc w:val="left"/>
              <w:rPr/>
            </w:pPr>
            <w:r>
              <w:rPr/>
              <w:t xml:space="preserve">  </w:t>
            </w:r>
          </w:p>
        </w:tc>
        <w:tc>
          <w:tcPr>
            <w:tcW w:w="699" w:type="dxa"/>
            <w:gridSpan w:val="3"/>
            <w:tcBorders>
              <w:top w:val="single" w:sz="8" w:space="0" w:color="000000"/>
            </w:tcBorders>
            <w:tcMar>
              <w:top w:w="30" w:type="dxa"/>
            </w:tcMar>
            <w:vAlign w:val="center"/>
          </w:tcPr>
          <w:p>
            <w:pPr>
              <w:pStyle w:val="TableContents"/>
              <w:bidi w:val="0"/>
              <w:spacing w:before="0" w:after="0"/>
              <w:jc w:val="both"/>
              <w:rPr/>
            </w:pPr>
            <w:r>
              <w:rPr>
                <w:color w:val="000000"/>
                <w:sz w:val="20"/>
              </w:rPr>
              <w:t>Name:</w:t>
            </w:r>
            <w:r>
              <w:rPr/>
              <w:t xml:space="preserve"> </w:t>
            </w:r>
          </w:p>
        </w:tc>
        <w:tc>
          <w:tcPr>
            <w:tcW w:w="6635" w:type="dxa"/>
            <w:gridSpan w:val="3"/>
            <w:tcBorders>
              <w:top w:val="single" w:sz="8" w:space="0" w:color="000000"/>
            </w:tcBorders>
            <w:tcMar>
              <w:top w:w="30" w:type="dxa"/>
            </w:tcMar>
            <w:vAlign w:val="center"/>
          </w:tcPr>
          <w:p>
            <w:pPr>
              <w:pStyle w:val="TableContents"/>
              <w:bidi w:val="0"/>
              <w:spacing w:before="0" w:after="0"/>
              <w:jc w:val="both"/>
              <w:rPr/>
            </w:pPr>
            <w:r>
              <w:rPr>
                <w:color w:val="000000"/>
                <w:sz w:val="20"/>
              </w:rPr>
              <w:t>Felipe Dutra</w:t>
            </w:r>
            <w:r>
              <w:rPr/>
              <w:t xml:space="preserve"> </w:t>
            </w:r>
          </w:p>
        </w:tc>
      </w:tr>
      <w:tr>
        <w:trPr/>
        <w:tc>
          <w:tcPr>
            <w:tcW w:w="2256" w:type="dxa"/>
            <w:gridSpan w:val="3"/>
            <w:tcBorders/>
            <w:vAlign w:val="center"/>
          </w:tcPr>
          <w:p>
            <w:pPr>
              <w:pStyle w:val="TableContents"/>
              <w:bidi w:val="0"/>
              <w:spacing w:before="0" w:after="283"/>
              <w:jc w:val="left"/>
              <w:rPr/>
            </w:pPr>
            <w:r>
              <w:rPr/>
              <w:t xml:space="preserve">  </w:t>
            </w:r>
          </w:p>
        </w:tc>
        <w:tc>
          <w:tcPr>
            <w:tcW w:w="615" w:type="dxa"/>
            <w:gridSpan w:val="3"/>
            <w:tcBorders/>
            <w:vAlign w:val="center"/>
          </w:tcPr>
          <w:p>
            <w:pPr>
              <w:pStyle w:val="TableContents"/>
              <w:bidi w:val="0"/>
              <w:spacing w:before="0" w:after="283"/>
              <w:jc w:val="left"/>
              <w:rPr/>
            </w:pPr>
            <w:r>
              <w:rPr/>
              <w:t xml:space="preserve">  </w:t>
            </w:r>
          </w:p>
        </w:tc>
        <w:tc>
          <w:tcPr>
            <w:tcW w:w="699" w:type="dxa"/>
            <w:gridSpan w:val="3"/>
            <w:tcBorders/>
            <w:vAlign w:val="center"/>
          </w:tcPr>
          <w:p>
            <w:pPr>
              <w:pStyle w:val="TableContents"/>
              <w:bidi w:val="0"/>
              <w:spacing w:before="0" w:after="0"/>
              <w:jc w:val="both"/>
              <w:rPr/>
            </w:pPr>
            <w:r>
              <w:rPr>
                <w:color w:val="000000"/>
                <w:sz w:val="20"/>
              </w:rPr>
              <w:t>Title:</w:t>
            </w:r>
            <w:r>
              <w:rPr/>
              <w:t xml:space="preserve"> </w:t>
            </w:r>
          </w:p>
        </w:tc>
        <w:tc>
          <w:tcPr>
            <w:tcW w:w="6635" w:type="dxa"/>
            <w:gridSpan w:val="3"/>
            <w:tcBorders/>
            <w:vAlign w:val="center"/>
          </w:tcPr>
          <w:p>
            <w:pPr>
              <w:pStyle w:val="TableContents"/>
              <w:bidi w:val="0"/>
              <w:spacing w:before="0" w:after="0"/>
              <w:jc w:val="both"/>
              <w:rPr/>
            </w:pPr>
            <w:r>
              <w:rPr>
                <w:color w:val="000000"/>
                <w:sz w:val="20"/>
              </w:rPr>
              <w:t>Executive Chairman, Principal Executive Officer and Principal Financial Officer</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t xml:space="preserve">  </w:t>
      </w:r>
    </w:p>
    <w:p>
      <w:pPr>
        <w:pStyle w:val="TextBody"/>
        <w:bidi w:val="0"/>
        <w:spacing w:before="0" w:after="0"/>
        <w:jc w:val="left"/>
        <w:rPr/>
      </w:pPr>
      <w:r>
        <w:rPr/>
        <w:t xml:space="preserve">  </w:t>
      </w:r>
    </w:p>
    <w:p>
      <w:pPr>
        <w:pStyle w:val="TextBody"/>
        <w:bidi w:val="0"/>
        <w:jc w:val="center"/>
        <w:rPr/>
      </w:pPr>
      <w:r>
        <w:rPr/>
        <w:t xml:space="preserve">3 </w:t>
      </w:r>
    </w:p>
    <w:p>
      <w:pPr>
        <w:pStyle w:val="TextBody"/>
        <w:bidi w:val="0"/>
        <w:spacing w:before="0" w:after="120"/>
        <w:jc w:val="left"/>
        <w:rPr/>
      </w:pPr>
      <w:bookmarkStart w:id="2" w:name="press-release.htm"/>
      <w:bookmarkStart w:id="3" w:name="kspressrelease"/>
      <w:bookmarkEnd w:id="2"/>
      <w:bookmarkEnd w:id="3"/>
      <w:r>
        <w:rPr/>
        <w:t xml:space="preserve">  </w:t>
      </w:r>
      <w:r>
        <w:br w:type="page"/>
      </w:r>
    </w:p>
    <w:tbl>
      <w:tblPr>
        <w:tblW w:w="9493" w:type="dxa"/>
        <w:jc w:val="left"/>
        <w:tblInd w:w="0" w:type="dxa"/>
        <w:tblLayout w:type="fixed"/>
        <w:tblCellMar>
          <w:top w:w="28" w:type="dxa"/>
          <w:left w:w="28" w:type="dxa"/>
          <w:bottom w:w="28" w:type="dxa"/>
          <w:right w:w="28" w:type="dxa"/>
        </w:tblCellMar>
      </w:tblPr>
      <w:tblGrid>
        <w:gridCol w:w="6096"/>
        <w:gridCol w:w="3397"/>
      </w:tblGrid>
      <w:tr>
        <w:trPr/>
        <w:tc>
          <w:tcPr>
            <w:tcW w:w="6096" w:type="dxa"/>
            <w:tcBorders/>
            <w:vAlign w:val="center"/>
          </w:tcPr>
          <w:p>
            <w:pPr>
              <w:pStyle w:val="TableContents"/>
              <w:bidi w:val="0"/>
              <w:spacing w:before="0" w:after="0"/>
              <w:jc w:val="left"/>
              <w:rPr/>
            </w:pPr>
            <w:r>
              <w:rPr/>
              <w:drawing>
                <wp:inline distT="0" distB="0" distL="0" distR="0">
                  <wp:extent cx="376872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68725" cy="457200"/>
                          </a:xfrm>
                          <a:prstGeom prst="rect">
                            <a:avLst/>
                          </a:prstGeom>
                        </pic:spPr>
                      </pic:pic>
                    </a:graphicData>
                  </a:graphic>
                </wp:inline>
              </w:drawing>
            </w:r>
            <w:r>
              <w:rPr/>
              <w:t xml:space="preserve"> </w:t>
            </w:r>
          </w:p>
        </w:tc>
        <w:tc>
          <w:tcPr>
            <w:tcW w:w="3397" w:type="dxa"/>
            <w:tcBorders/>
            <w:vAlign w:val="center"/>
          </w:tcPr>
          <w:p>
            <w:pPr>
              <w:pStyle w:val="TableContents"/>
              <w:bidi w:val="0"/>
              <w:spacing w:before="0" w:after="0"/>
              <w:jc w:val="right"/>
              <w:rPr/>
            </w:pPr>
            <w:r>
              <w:rPr/>
              <w:drawing>
                <wp:inline distT="0" distB="0" distL="0" distR="0">
                  <wp:extent cx="2035810" cy="8401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35810" cy="840105"/>
                          </a:xfrm>
                          <a:prstGeom prst="rect">
                            <a:avLst/>
                          </a:prstGeom>
                        </pic:spPr>
                      </pic:pic>
                    </a:graphicData>
                  </a:graphic>
                </wp:inline>
              </w:drawing>
            </w:r>
            <w:r>
              <w:rPr/>
              <w:t xml:space="preserve"> </w:t>
            </w:r>
          </w:p>
        </w:tc>
      </w:tr>
    </w:tbl>
    <w:p>
      <w:pPr>
        <w:pStyle w:val="TextBody"/>
        <w:bidi w:val="0"/>
        <w:spacing w:before="0" w:after="160"/>
        <w:jc w:val="left"/>
        <w:rPr>
          <w:color w:val="2E74B5"/>
          <w:sz w:val="32"/>
        </w:rPr>
      </w:pPr>
      <w:r>
        <w:rPr>
          <w:rFonts w:ascii="Arial" w:hAnsi="Arial"/>
          <w:b/>
          <w:color w:val="000000"/>
          <w:sz w:val="24"/>
        </w:rPr>
        <w:t>Waldencast plc Files Form 25 to Voluntary Delist from Nasdaq and Deregister its Securities under the Exchange Act</w:t>
      </w:r>
      <w:r>
        <w:rPr>
          <w:color w:val="2E74B5"/>
          <w:sz w:val="32"/>
        </w:rPr>
        <w:t xml:space="preserve"> </w:t>
      </w:r>
    </w:p>
    <w:tbl>
      <w:tblPr>
        <w:tblW w:w="10205" w:type="dxa"/>
        <w:jc w:val="left"/>
        <w:tblInd w:w="0" w:type="dxa"/>
        <w:tblLayout w:type="fixed"/>
        <w:tblCellMar>
          <w:top w:w="28" w:type="dxa"/>
          <w:left w:w="28" w:type="dxa"/>
          <w:bottom w:w="28" w:type="dxa"/>
          <w:right w:w="28" w:type="dxa"/>
        </w:tblCellMar>
      </w:tblPr>
      <w:tblGrid>
        <w:gridCol w:w="234"/>
        <w:gridCol w:w="9971"/>
      </w:tblGrid>
      <w:tr>
        <w:trPr/>
        <w:tc>
          <w:tcPr>
            <w:tcW w:w="234" w:type="dxa"/>
            <w:tcBorders/>
            <w:vAlign w:val="center"/>
          </w:tcPr>
          <w:p>
            <w:pPr>
              <w:pStyle w:val="TableContents"/>
              <w:bidi w:val="0"/>
              <w:spacing w:before="0" w:after="283"/>
              <w:jc w:val="left"/>
              <w:rPr>
                <w:sz w:val="4"/>
                <w:szCs w:val="4"/>
              </w:rPr>
            </w:pPr>
            <w:r>
              <w:rPr>
                <w:sz w:val="4"/>
                <w:szCs w:val="4"/>
              </w:rPr>
            </w:r>
          </w:p>
        </w:tc>
        <w:tc>
          <w:tcPr>
            <w:tcW w:w="9971" w:type="dxa"/>
            <w:tcBorders/>
            <w:vAlign w:val="center"/>
          </w:tcPr>
          <w:p>
            <w:pPr>
              <w:pStyle w:val="TableContents"/>
              <w:bidi w:val="0"/>
              <w:spacing w:before="0" w:after="283"/>
              <w:jc w:val="left"/>
              <w:rPr>
                <w:sz w:val="4"/>
                <w:szCs w:val="4"/>
              </w:rPr>
            </w:pPr>
            <w:r>
              <w:rPr>
                <w:sz w:val="4"/>
                <w:szCs w:val="4"/>
              </w:rPr>
            </w:r>
          </w:p>
        </w:tc>
      </w:tr>
      <w:tr>
        <w:trPr/>
        <w:tc>
          <w:tcPr>
            <w:tcW w:w="23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971" w:type="dxa"/>
            <w:tcBorders/>
            <w:tcMar>
              <w:top w:w="0" w:type="dxa"/>
              <w:left w:w="0" w:type="dxa"/>
              <w:bottom w:w="0" w:type="dxa"/>
              <w:right w:w="0" w:type="dxa"/>
            </w:tcMar>
            <w:vAlign w:val="center"/>
          </w:tcPr>
          <w:p>
            <w:pPr>
              <w:pStyle w:val="TableContents"/>
              <w:bidi w:val="0"/>
              <w:spacing w:before="0" w:after="0"/>
              <w:jc w:val="left"/>
              <w:rPr/>
            </w:pPr>
            <w:r>
              <w:rPr/>
              <w:t xml:space="preserve">The Company has filed a Form 25 (Notification of Removal from Listing) with the SEC on September 24, 2026 to remove its Class A Ordinary Shares and Warrants from listing on Nasdaq and to deregister those securities under the Exchange Act </w:t>
            </w:r>
          </w:p>
        </w:tc>
      </w:tr>
      <w:tr>
        <w:trPr/>
        <w:tc>
          <w:tcPr>
            <w:tcW w:w="23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997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3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971" w:type="dxa"/>
            <w:tcBorders/>
            <w:tcMar>
              <w:top w:w="0" w:type="dxa"/>
              <w:left w:w="0" w:type="dxa"/>
              <w:bottom w:w="0" w:type="dxa"/>
              <w:right w:w="0" w:type="dxa"/>
            </w:tcMar>
            <w:vAlign w:val="center"/>
          </w:tcPr>
          <w:p>
            <w:pPr>
              <w:pStyle w:val="TableContents"/>
              <w:bidi w:val="0"/>
              <w:spacing w:before="0" w:after="0"/>
              <w:jc w:val="left"/>
              <w:rPr/>
            </w:pPr>
            <w:r>
              <w:rPr/>
              <w:t xml:space="preserve">Delisting expected to become effective on or about October 4, 2026, with the last day of trading on Nasdaq expected to be on or about October 2, 2026 </w:t>
            </w:r>
          </w:p>
        </w:tc>
      </w:tr>
    </w:tbl>
    <w:p>
      <w:pPr>
        <w:pStyle w:val="TextBody"/>
        <w:bidi w:val="0"/>
        <w:spacing w:before="120" w:after="200"/>
        <w:jc w:val="left"/>
        <w:rPr>
          <w:bdr w:val="single" w:sz="8" w:space="1" w:color="999999"/>
        </w:rPr>
      </w:pPr>
      <w:r>
        <w:rPr>
          <w:bdr w:val="single" w:sz="8" w:space="1" w:color="999999"/>
        </w:rPr>
        <w:t xml:space="preserve">  </w:t>
      </w:r>
    </w:p>
    <w:p>
      <w:pPr>
        <w:pStyle w:val="TextBody"/>
        <w:bidi w:val="0"/>
        <w:spacing w:before="0" w:after="200"/>
        <w:jc w:val="left"/>
        <w:rPr/>
      </w:pPr>
      <w:r>
        <w:rPr>
          <w:rFonts w:ascii="Arial" w:hAnsi="Arial"/>
          <w:sz w:val="18"/>
        </w:rPr>
        <w:t>September 24, 2026</w:t>
      </w:r>
      <w:r>
        <w:rPr/>
        <w:t xml:space="preserve"> </w:t>
      </w:r>
    </w:p>
    <w:p>
      <w:pPr>
        <w:pStyle w:val="TextBody"/>
        <w:bidi w:val="0"/>
        <w:spacing w:before="0" w:after="200"/>
        <w:jc w:val="both"/>
        <w:rPr>
          <w:rFonts w:ascii="Arial" w:hAnsi="Arial"/>
          <w:sz w:val="18"/>
        </w:rPr>
      </w:pPr>
      <w:r>
        <w:rPr>
          <w:rFonts w:ascii="Arial" w:hAnsi="Arial"/>
          <w:sz w:val="18"/>
        </w:rPr>
        <w:t xml:space="preserve">LONDON, September 24, 2026 (GLOBE NEWSWIRE) -- Waldencast plc (NASDAQ: WALD) (“Waldencast” or the “Company”) today announced that it has filed a Form 25 (Notification of Removal from Listing) with the Securities and Exchange Commission (the “SEC”) to remove its Class A ordinary shares, par value $0.0001 per share (the “Class A Ordinary Shares”), and its redeemable warrants, each whole warrant exercisable for one Class A Ordinary Share at an exercise price of $11.50 per share (the “Warrants”), from listing on the Nasdaq Stock Market LLC (“Nasdaq”) and to deregister such securities under Section 12(b) of the Securities Exchange Act of 1934, as amended (the “Exchange Act”). As a result, Waldencast expects that the last trading day of its Class A Ordinary Shares and Warrants on Nasdaq will be on or about October 2, 2026. </w:t>
      </w:r>
    </w:p>
    <w:p>
      <w:pPr>
        <w:pStyle w:val="TextBody"/>
        <w:bidi w:val="0"/>
        <w:spacing w:before="0" w:after="200"/>
        <w:jc w:val="both"/>
        <w:rPr/>
      </w:pPr>
      <w:r>
        <w:rPr>
          <w:rFonts w:ascii="Arial" w:hAnsi="Arial"/>
          <w:sz w:val="18"/>
        </w:rPr>
        <w:t>As previously announced, the Company intends to file a Form 15 (Certification and Notice of Termination of Registration) with the SEC on or about October 5, 2026 to suspend the Company’s reporting obligations under Sections 12(g) and 15(d) of the Exchange Act. Upon filing of the Form 15, the Company’s obligation to file periodic reports with the SEC, including Annual Reports on Form 20-F and Current Reports on Form 6-K, will be suspended immediately. The Section 12(b) deregistration is expected to become effective 90 days after the Form 25 filing.</w:t>
      </w:r>
      <w:r>
        <w:rPr/>
        <w:t xml:space="preserve"> </w:t>
      </w:r>
    </w:p>
    <w:p>
      <w:pPr>
        <w:pStyle w:val="TextBody"/>
        <w:bidi w:val="0"/>
        <w:spacing w:before="0" w:after="0"/>
        <w:jc w:val="both"/>
        <w:rPr/>
      </w:pPr>
      <w:r>
        <w:rPr>
          <w:rFonts w:ascii="Arial" w:hAnsi="Arial"/>
          <w:sz w:val="18"/>
        </w:rPr>
        <w:t>The Company reserves the right to withdraw or postpone the above filings prior to their effectiveness; if necessary, the Company will make any further announcements as required by the Nasdaq listing standards and other applicable laws.</w:t>
      </w:r>
      <w:r>
        <w:rPr/>
        <w:t xml:space="preserve"> </w:t>
      </w:r>
    </w:p>
    <w:p>
      <w:pPr>
        <w:pStyle w:val="TextBody"/>
        <w:bidi w:val="0"/>
        <w:spacing w:before="0" w:after="0"/>
        <w:jc w:val="both"/>
        <w:rPr/>
      </w:pPr>
      <w:r>
        <w:rPr/>
        <w:t xml:space="preserve">  </w:t>
      </w:r>
    </w:p>
    <w:p>
      <w:pPr>
        <w:pStyle w:val="TextBody"/>
        <w:bidi w:val="0"/>
        <w:spacing w:lineRule="atLeast" w:line="205" w:before="0" w:after="240"/>
        <w:jc w:val="both"/>
        <w:rPr/>
      </w:pPr>
      <w:r>
        <w:rPr>
          <w:rFonts w:ascii="Arial" w:hAnsi="Arial"/>
          <w:b/>
          <w:sz w:val="18"/>
        </w:rPr>
        <w:t>About Waldencast</w:t>
      </w:r>
      <w:r>
        <w:rPr/>
        <w:t xml:space="preserve"> </w:t>
      </w:r>
    </w:p>
    <w:p>
      <w:pPr>
        <w:pStyle w:val="TextBody"/>
        <w:bidi w:val="0"/>
        <w:spacing w:before="0" w:after="200"/>
        <w:jc w:val="both"/>
        <w:rPr>
          <w:rFonts w:ascii="Arial" w:hAnsi="Arial"/>
          <w:sz w:val="18"/>
        </w:rPr>
      </w:pPr>
      <w:r>
        <w:rPr>
          <w:rFonts w:ascii="Arial" w:hAnsi="Arial"/>
          <w:sz w:val="18"/>
        </w:rPr>
        <w:t xml:space="preserve">Waldencast plc (NASDAQ: WALD) is the parent company of Milk Makeup, the clean prestige beauty brand born from the creative community of Milk Studios in downtown New York City. Founded in 2016, Milk Makeup is built on the values of self-expression and inclusion, captured by its signature “Live Your Look,” and creates vegan, cruelty-free, clean formulas across a portfolio of hero franchises. Milk Makeup is available through milkmakeup.com and retail partners including Sephora, Ulta Beauty and Amazon Premium Beauty in the U.S., and select retailers internationally. For more information, please visit: www.milkmakeup.com. </w:t>
      </w:r>
    </w:p>
    <w:p>
      <w:pPr>
        <w:pStyle w:val="TextBody"/>
        <w:bidi w:val="0"/>
        <w:spacing w:before="200" w:after="120"/>
        <w:jc w:val="both"/>
        <w:rPr/>
      </w:pPr>
      <w:r>
        <w:rPr>
          <w:rFonts w:ascii="Arial" w:hAnsi="Arial"/>
          <w:b/>
          <w:sz w:val="18"/>
        </w:rPr>
        <w:t>Forward-Looking Statements</w:t>
      </w:r>
      <w:r>
        <w:rPr/>
        <w:t xml:space="preserve"> </w:t>
      </w:r>
    </w:p>
    <w:p>
      <w:pPr>
        <w:pStyle w:val="TextBody"/>
        <w:bidi w:val="0"/>
        <w:spacing w:before="0" w:after="200"/>
        <w:jc w:val="both"/>
        <w:rPr>
          <w:rFonts w:ascii="Arial" w:hAnsi="Arial"/>
          <w:sz w:val="18"/>
        </w:rPr>
      </w:pPr>
      <w:r>
        <w:rPr>
          <w:rFonts w:ascii="Arial" w:hAnsi="Arial"/>
          <w:sz w:val="18"/>
        </w:rPr>
        <w:t xml:space="preserve">Statements in this release that are not historical are forward-looking statements made pursuant to the safe harbor provisions of the Private Securities Litigation Reform Act of 1995. Such statements include, but are not limited to, statements regarding the Company’s intention to delist from Nasdaq and to deregister from the SEC, the intended benefits of the delisting and deregistration and future strategies that may be pursued by the Company. These forward-looking statements generally are identified by the words “intends,” “may,” “will,” “future,” “expects,” “anticipates,” “believes,” “seeks,” “targets” and variations of these words or similar expressions (or the negative versions of such words or expressions) and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Company, that </w:t>
      </w:r>
    </w:p>
    <w:p>
      <w:pPr>
        <w:pStyle w:val="HorizontalLine"/>
        <w:pBdr>
          <w:bottom w:val="double" w:sz="2" w:space="0" w:color="808080"/>
        </w:pBdr>
        <w:bidi w:val="0"/>
        <w:spacing w:before="0" w:after="283"/>
        <w:jc w:val="left"/>
        <w:rPr/>
      </w:pPr>
      <w:r>
        <w:rPr/>
      </w:r>
    </w:p>
    <w:p>
      <w:pPr>
        <w:pStyle w:val="TextBody"/>
        <w:bidi w:val="0"/>
        <w:spacing w:before="0" w:after="200"/>
        <w:jc w:val="both"/>
        <w:rPr/>
      </w:pPr>
      <w:r>
        <w:rPr>
          <w:rFonts w:ascii="Arial" w:hAnsi="Arial"/>
          <w:sz w:val="18"/>
        </w:rPr>
        <w:t>could cause actual results or outcomes to differ materially from those discussed in the forward-looking statements. Important factors, among others, that may affect actual results or outcomes include, but are not limited to: (1) the inability to recognize the anticipated benefits of the delisting and deregistration, including the possibility that the cost savings the Board currently expects are not realized in whole or in part, or are realized more slowly or in lesser amounts than expected; (2) the general impact of geopolitical events, including the impact of current wars, conflicts and other hostilities; (3) the overall economic and market conditions and other information about the Company’s possible or assumed future results of operations or performance; (4) changes in general economic conditions; (5) the impact of any international trade or foreign exchange restrictions, the imposition of new or increased tariffs, foreign currency exchange fluctuations; (6) the ability to implement the Company’s strategic initiatives and continue to innovate its existing products and anticipate and respond to market trends and changes in consumer preferences; and (7) the possibility that the Form 15 is not filed, or that the Form 25 or the Form 15 do not become effective, on the expected timetable, or that the SEC denies or delays the deregistration. The foregoing list of factors is not exhaustive. You should carefully consider the foregoing factors and the other risks and uncertainties described in the “Risk Factors” section of the Company’s Annual Report on Form 20-F for the year ended December 31, 2025, filed with the SEC on March 13, 2026, or in other documents that may be filed or furnished by the Company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the Company assumes no obligation and does not intend to update or revise these forward-looking statements, whether as a result of new information, future events, or otherwise.</w:t>
      </w:r>
      <w:r>
        <w:rPr/>
        <w:t xml:space="preserve"> </w:t>
      </w:r>
    </w:p>
    <w:p>
      <w:pPr>
        <w:pStyle w:val="TextBody"/>
        <w:bidi w:val="0"/>
        <w:spacing w:before="200" w:after="200"/>
        <w:jc w:val="both"/>
        <w:rPr/>
      </w:pPr>
      <w:r>
        <w:rPr/>
        <w:t xml:space="preserve">  </w:t>
      </w:r>
    </w:p>
    <w:p>
      <w:pPr>
        <w:pStyle w:val="TextBody"/>
        <w:bidi w:val="0"/>
        <w:spacing w:before="0" w:after="200"/>
        <w:jc w:val="both"/>
        <w:rPr/>
      </w:pPr>
      <w:r>
        <w:rPr>
          <w:rFonts w:ascii="Arial" w:hAnsi="Arial"/>
          <w:b/>
          <w:sz w:val="18"/>
        </w:rPr>
        <w:t>Waldencast Contact</w:t>
      </w:r>
      <w:r>
        <w:rPr/>
        <w:t xml:space="preserve"> </w:t>
      </w:r>
    </w:p>
    <w:p>
      <w:pPr>
        <w:pStyle w:val="TextBody"/>
        <w:bidi w:val="0"/>
        <w:spacing w:before="0" w:after="200"/>
        <w:jc w:val="both"/>
        <w:rPr/>
      </w:pPr>
      <w:r>
        <w:rPr>
          <w:rFonts w:ascii="Arial" w:hAnsi="Arial"/>
          <w:sz w:val="18"/>
        </w:rPr>
        <w:t xml:space="preserve">Investors ICR Allison Malkin </w:t>
      </w:r>
      <w:r>
        <w:rPr>
          <w:rFonts w:ascii="Arial" w:hAnsi="Arial"/>
          <w:color w:val="0563C1"/>
          <w:sz w:val="18"/>
        </w:rPr>
        <w:t>waldencastir@icrinc.com</w:t>
      </w:r>
      <w:r>
        <w:rPr/>
        <w:t xml:space="preserve"> </w:t>
      </w:r>
    </w:p>
    <w:p>
      <w:pPr>
        <w:pStyle w:val="TextBody"/>
        <w:bidi w:val="0"/>
        <w:spacing w:before="0" w:after="200"/>
        <w:jc w:val="both"/>
        <w:rPr/>
      </w:pPr>
      <w:r>
        <w:rPr>
          <w:rFonts w:ascii="Arial" w:hAnsi="Arial"/>
          <w:sz w:val="18"/>
        </w:rPr>
        <w:t xml:space="preserve">Media ICR Brittany Fraser </w:t>
      </w:r>
      <w:r>
        <w:rPr>
          <w:rFonts w:ascii="Arial" w:hAnsi="Arial"/>
          <w:color w:val="0563C1"/>
          <w:sz w:val="18"/>
        </w:rPr>
        <w:t>waldencastpr@icrinc.com</w:t>
      </w:r>
      <w:r>
        <w:rPr/>
        <w:t xml:space="preserve"> </w:t>
      </w:r>
    </w:p>
    <w:p>
      <w:pPr>
        <w:pStyle w:val="TextBody"/>
        <w:bidi w:val="0"/>
        <w:spacing w:before="0" w:after="20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1243</Words>
  <Characters>6747</Characters>
  <CharactersWithSpaces>8144</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